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附件1 2018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年学校人员招聘岗位信息表</w:t>
      </w:r>
    </w:p>
    <w:bookmarkEnd w:id="0"/>
    <w:tbl>
      <w:tblPr>
        <w:tblpPr w:leftFromText="180" w:rightFromText="180" w:vertAnchor="text" w:horzAnchor="page" w:tblpX="1056" w:tblpY="739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80"/>
        <w:gridCol w:w="990"/>
        <w:gridCol w:w="1410"/>
        <w:gridCol w:w="855"/>
        <w:gridCol w:w="370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部门名称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岗位性质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电子与通信工程，信息与通信工程，电路与系统，信号与信息处理，无线电物理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车辆工程，机械电子工程，动力工程，交通运输工程，电力电子与电力传动，电机与电器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供热，供燃气，通风及空调工程，土木工程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计算机系统结构，计算机应用技术，系统工程，计算机技术，电子与通信工程，信息与通信工程，控制理论与控制工程，模式识别与智能系统，控制工程，专业类别序号为18、19、20的所有专业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事业编制或人事代理（薪酬与事业编制相同）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基础部（体育部）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体育教育训练学，民族传统体育学，体育学，体育，基础数学，计算数学，应用数学，高等数学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马克思主义基本原理，马克思主义中国化研究，马克思主义哲学，中国哲学，思想政治教育，中国近现代史基本问题研究，政治学理论，中共党史，国际政治，法学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学工处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（男性）计算机大类，建筑工程类，体育类，思想政治教育类，心理学类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人事代理（薪酬与事业编制相同）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院长办公室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文字秘书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高等教育学，语言学及应用语言学，汉语言文学等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F0B94"/>
    <w:rsid w:val="6D535020"/>
    <w:rsid w:val="6F6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t-26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2018-06-26T07:11:00Z</dcterms:created>
  <dc:creator>jsit-2602</dc:creator>
  <cp:lastModifiedBy>jsit-2602</cp:lastModifiedBy>
  <dcterms:modified xsi:type="dcterms:W3CDTF">2018-06-26T07:12:17Z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